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Figaro Client Questions</w:t>
      </w:r>
    </w:p>
    <w:p>
      <w:pPr>
        <w:spacing w:after="280"/>
      </w:pPr>
      <w:r>
        <w:rPr>
          <w:rFonts w:ascii="Arial" w:hAnsi="Arial"/>
          <w:color w:val="6E675E"/>
          <w:sz w:val="25"/>
        </w:rPr>
        <w:t>Straight answers for business owners evaluating Figaro Home</w:t>
      </w:r>
    </w:p>
    <w:p>
      <w:pPr>
        <w:keepNext/>
        <w:spacing w:after="220"/>
      </w:pPr>
      <w:r>
        <w:rPr>
          <w:rFonts w:ascii="Georgia" w:hAnsi="Georgia"/>
          <w:color w:val="2B2723"/>
          <w:sz w:val="27"/>
        </w:rPr>
        <w:t>A careful buyer should know what Figaro does today, what requires approval and what gets confirmed during onboarding.</w:t>
      </w:r>
    </w:p>
    <w:p>
      <w:pPr>
        <w:pStyle w:val="Heading1"/>
      </w:pPr>
      <w:r>
        <w:t>Figaro and existing AI tools</w:t>
      </w:r>
    </w:p>
    <w:p>
      <w:pPr>
        <w:keepNext/>
      </w:pPr>
      <w:r>
        <w:rPr>
          <w:rFonts w:ascii="Georgia" w:hAnsi="Georgia"/>
          <w:i/>
          <w:color w:val="6E675E"/>
          <w:sz w:val="24"/>
        </w:rPr>
        <w:t>I already pay for ChatGPT or Claude. Why would I need Figaro?</w:t>
      </w:r>
    </w:p>
    <w:p>
      <w:pPr>
        <w:keepNext w:val="0"/>
      </w:pPr>
      <w:r>
        <w:rPr>
          <w:rFonts w:ascii="Arial" w:hAnsi="Arial"/>
          <w:color w:val="2B2723"/>
          <w:sz w:val="22"/>
        </w:rPr>
        <w:t>Keep the model you already value. Figaro adds the operating layer around it: lasting business context, connected tools, repeatable workflows, evidence of what happened and an approval step before consequential actions. The difference shows up in the output. You receive a brief, a prepared follow up or a tested change, not only an answer in a chat window.</w:t>
      </w:r>
    </w:p>
    <w:p>
      <w:pPr>
        <w:keepNext w:val="0"/>
      </w:pPr>
      <w:r>
        <w:rPr>
          <w:rFonts w:ascii="Arial" w:hAnsi="Arial"/>
          <w:b/>
          <w:color w:val="2B2723"/>
          <w:sz w:val="22"/>
        </w:rPr>
        <w:t xml:space="preserve">What to confirm  </w:t>
      </w:r>
      <w:r>
        <w:rPr>
          <w:rFonts w:ascii="Arial" w:hAnsi="Arial"/>
          <w:color w:val="2B2723"/>
          <w:sz w:val="22"/>
        </w:rPr>
        <w:t>Start with a job that currently crosses more than one tool and ends in a clear deliverable.</w:t>
      </w:r>
    </w:p>
    <w:p>
      <w:pPr>
        <w:pStyle w:val="Heading1"/>
      </w:pPr>
      <w:r>
        <w:t>Use without technical training</w:t>
      </w:r>
    </w:p>
    <w:p>
      <w:pPr>
        <w:keepNext/>
      </w:pPr>
      <w:r>
        <w:rPr>
          <w:rFonts w:ascii="Georgia" w:hAnsi="Georgia"/>
          <w:i/>
          <w:color w:val="6E675E"/>
          <w:sz w:val="24"/>
        </w:rPr>
        <w:t>I am not technical. Will I be able to use it?</w:t>
      </w:r>
    </w:p>
    <w:p>
      <w:pPr>
        <w:keepNext w:val="0"/>
      </w:pPr>
      <w:r>
        <w:rPr>
          <w:rFonts w:ascii="Arial" w:hAnsi="Arial"/>
          <w:color w:val="2B2723"/>
          <w:sz w:val="22"/>
        </w:rPr>
        <w:t>Yes. You delegate in normal language, usually through Telegram, and the web cabinet shows the work and its status. The setup call covers the first workflow, the connected accounts and the approval boundary. You do not need to install an agent framework or maintain a server.</w:t>
      </w:r>
    </w:p>
    <w:p>
      <w:pPr>
        <w:keepNext w:val="0"/>
      </w:pPr>
      <w:r>
        <w:rPr>
          <w:rFonts w:ascii="Arial" w:hAnsi="Arial"/>
          <w:b/>
          <w:color w:val="2B2723"/>
          <w:sz w:val="22"/>
        </w:rPr>
        <w:t xml:space="preserve">What to confirm  </w:t>
      </w:r>
      <w:r>
        <w:rPr>
          <w:rFonts w:ascii="Arial" w:hAnsi="Arial"/>
          <w:color w:val="2B2723"/>
          <w:sz w:val="22"/>
        </w:rPr>
        <w:t>The first session should end with one useful workflow configured and a clear list of what is live for your deployment.</w:t>
      </w:r>
    </w:p>
    <w:p>
      <w:pPr>
        <w:pStyle w:val="Heading1"/>
      </w:pPr>
      <w:r>
        <w:t>Work Figaro can handle</w:t>
      </w:r>
    </w:p>
    <w:p>
      <w:pPr>
        <w:keepNext/>
      </w:pPr>
      <w:r>
        <w:rPr>
          <w:rFonts w:ascii="Georgia" w:hAnsi="Georgia"/>
          <w:i/>
          <w:color w:val="6E675E"/>
          <w:sz w:val="24"/>
        </w:rPr>
        <w:t>What can it actually do?</w:t>
      </w:r>
    </w:p>
    <w:p>
      <w:pPr>
        <w:keepNext w:val="0"/>
      </w:pPr>
      <w:r>
        <w:rPr>
          <w:rFonts w:ascii="Arial" w:hAnsi="Arial"/>
          <w:color w:val="2B2723"/>
          <w:sz w:val="22"/>
        </w:rPr>
        <w:t>On the reference deployment, Figaro handles cited research, documents, meeting notes and follow ups, inbox and calendar work, phone workflows, content and tested engineering changes. A client deployment starts with one agreed workflow and expands only after that workflow works reliably.</w:t>
      </w:r>
    </w:p>
    <w:p>
      <w:pPr>
        <w:keepNext w:val="0"/>
      </w:pPr>
      <w:r>
        <w:rPr>
          <w:rFonts w:ascii="Arial" w:hAnsi="Arial"/>
          <w:b/>
          <w:color w:val="2B2723"/>
          <w:sz w:val="22"/>
        </w:rPr>
        <w:t xml:space="preserve">What to confirm  </w:t>
      </w:r>
      <w:r>
        <w:rPr>
          <w:rFonts w:ascii="Arial" w:hAnsi="Arial"/>
          <w:color w:val="2B2723"/>
          <w:sz w:val="22"/>
        </w:rPr>
        <w:t>Ask to see the closest live receipt to your use case, then define the finished output you expect.</w:t>
      </w:r>
    </w:p>
    <w:p>
      <w:pPr>
        <w:pStyle w:val="Heading1"/>
      </w:pPr>
      <w:r>
        <w:t>Approval before consequential actions</w:t>
      </w:r>
    </w:p>
    <w:p>
      <w:pPr>
        <w:keepNext/>
      </w:pPr>
      <w:r>
        <w:rPr>
          <w:rFonts w:ascii="Georgia" w:hAnsi="Georgia"/>
          <w:i/>
          <w:color w:val="6E675E"/>
          <w:sz w:val="24"/>
        </w:rPr>
        <w:t>What stops it from sending the wrong message or changing something important?</w:t>
      </w:r>
    </w:p>
    <w:p>
      <w:pPr>
        <w:keepNext w:val="0"/>
      </w:pPr>
      <w:r>
        <w:rPr>
          <w:rFonts w:ascii="Arial" w:hAnsi="Arial"/>
          <w:color w:val="2B2723"/>
          <w:sz w:val="22"/>
        </w:rPr>
        <w:t>Figaro can read, research, draft, plan and prepare actions. Sending, publishing, spending, merging and calling wait for approval. The approval card shows what will happen before the action runs, and the job leaves a receipt afterwards.</w:t>
      </w:r>
    </w:p>
    <w:p>
      <w:pPr>
        <w:keepNext w:val="0"/>
      </w:pPr>
      <w:r>
        <w:rPr>
          <w:rFonts w:ascii="Arial" w:hAnsi="Arial"/>
          <w:b/>
          <w:color w:val="2B2723"/>
          <w:sz w:val="22"/>
        </w:rPr>
        <w:t xml:space="preserve">What to confirm  </w:t>
      </w:r>
      <w:r>
        <w:rPr>
          <w:rFonts w:ascii="Arial" w:hAnsi="Arial"/>
          <w:color w:val="2B2723"/>
          <w:sz w:val="22"/>
        </w:rPr>
        <w:t>Agree the approval policy during onboarding. A low risk first workflow should make the boundary obvious.</w:t>
      </w:r>
    </w:p>
    <w:p>
      <w:pPr>
        <w:pStyle w:val="Heading1"/>
      </w:pPr>
      <w:r>
        <w:t>Data and model access</w:t>
      </w:r>
    </w:p>
    <w:p>
      <w:pPr>
        <w:keepNext/>
      </w:pPr>
      <w:r>
        <w:rPr>
          <w:rFonts w:ascii="Georgia" w:hAnsi="Georgia"/>
          <w:i/>
          <w:color w:val="6E675E"/>
          <w:sz w:val="24"/>
        </w:rPr>
        <w:t>Where does my data go?</w:t>
      </w:r>
    </w:p>
    <w:p>
      <w:pPr>
        <w:keepNext w:val="0"/>
      </w:pPr>
      <w:r>
        <w:rPr>
          <w:rFonts w:ascii="Arial" w:hAnsi="Arial"/>
          <w:color w:val="2B2723"/>
          <w:sz w:val="22"/>
        </w:rPr>
        <w:t>Figaro Home keeps chat history, files, memory and connector tokens on the machine you own. Model calls go to Anthropic under your own API key and Anthropic bills that usage directly to you. This is different from claiming the box is offline: it needs power, internet access and the model connection to work.</w:t>
      </w:r>
    </w:p>
    <w:p>
      <w:pPr>
        <w:keepNext w:val="0"/>
      </w:pPr>
      <w:r>
        <w:rPr>
          <w:rFonts w:ascii="Arial" w:hAnsi="Arial"/>
          <w:b/>
          <w:color w:val="2B2723"/>
          <w:sz w:val="22"/>
        </w:rPr>
        <w:t xml:space="preserve">What to confirm  </w:t>
      </w:r>
      <w:r>
        <w:rPr>
          <w:rFonts w:ascii="Arial" w:hAnsi="Arial"/>
          <w:color w:val="2B2723"/>
          <w:sz w:val="22"/>
        </w:rPr>
        <w:t>Before connecting an account, confirm which data the workflow reads, which service processes it and where the credentials are stored.</w:t>
      </w:r>
    </w:p>
    <w:p>
      <w:pPr>
        <w:pStyle w:val="Heading1"/>
      </w:pPr>
      <w:r>
        <w:t>Integrations and reliability</w:t>
      </w:r>
    </w:p>
    <w:p>
      <w:pPr>
        <w:keepNext/>
      </w:pPr>
      <w:r>
        <w:rPr>
          <w:rFonts w:ascii="Georgia" w:hAnsi="Georgia"/>
          <w:i/>
          <w:color w:val="6E675E"/>
          <w:sz w:val="24"/>
        </w:rPr>
        <w:t>What happens if an integration expires or is not available yet?</w:t>
      </w:r>
    </w:p>
    <w:p>
      <w:pPr>
        <w:keepNext w:val="0"/>
      </w:pPr>
      <w:r>
        <w:rPr>
          <w:rFonts w:ascii="Arial" w:hAnsi="Arial"/>
          <w:color w:val="2B2723"/>
          <w:sz w:val="22"/>
        </w:rPr>
        <w:t>The onboarding session confirms what is live for your deployment and chooses a workflow that can run with the accounts available. If a connection needs attention, Figaro should surface the blocked step rather than pretend the work completed. New workflows are added deliberately, not promised as universal on day one.</w:t>
      </w:r>
    </w:p>
    <w:p>
      <w:pPr>
        <w:keepNext w:val="0"/>
      </w:pPr>
      <w:r>
        <w:rPr>
          <w:rFonts w:ascii="Arial" w:hAnsi="Arial"/>
          <w:b/>
          <w:color w:val="2B2723"/>
          <w:sz w:val="22"/>
        </w:rPr>
        <w:t xml:space="preserve">What to confirm  </w:t>
      </w:r>
      <w:r>
        <w:rPr>
          <w:rFonts w:ascii="Arial" w:hAnsi="Arial"/>
          <w:color w:val="2B2723"/>
          <w:sz w:val="22"/>
        </w:rPr>
        <w:t>Treat the reference deployment as proof of the operating model. Treat your agreed onboarding scope as the delivery commitment.</w:t>
      </w:r>
    </w:p>
    <w:p>
      <w:pPr>
        <w:pStyle w:val="Heading1"/>
      </w:pPr>
      <w:r>
        <w:t>Why Figaro Home is a physical device</w:t>
      </w:r>
    </w:p>
    <w:p>
      <w:pPr>
        <w:keepNext/>
      </w:pPr>
      <w:r>
        <w:rPr>
          <w:rFonts w:ascii="Georgia" w:hAnsi="Georgia"/>
          <w:i/>
          <w:color w:val="6E675E"/>
          <w:sz w:val="24"/>
        </w:rPr>
        <w:t>Why buy a box instead of another cloud subscription?</w:t>
      </w:r>
    </w:p>
    <w:p>
      <w:pPr>
        <w:keepNext w:val="0"/>
      </w:pPr>
      <w:r>
        <w:rPr>
          <w:rFonts w:ascii="Arial" w:hAnsi="Arial"/>
          <w:color w:val="2B2723"/>
          <w:sz w:val="22"/>
        </w:rPr>
        <w:t>The dedicated machine gives the operator a stable place to run around the clock and keeps its working files, memory and connector tokens under your control. Figaro handles provisioning, updates and support, so the owner does not have to build and maintain a do it yourself agent setup.</w:t>
      </w:r>
    </w:p>
    <w:p>
      <w:pPr>
        <w:keepNext w:val="0"/>
      </w:pPr>
      <w:r>
        <w:rPr>
          <w:rFonts w:ascii="Arial" w:hAnsi="Arial"/>
          <w:b/>
          <w:color w:val="2B2723"/>
          <w:sz w:val="22"/>
        </w:rPr>
        <w:t xml:space="preserve">What to confirm  </w:t>
      </w:r>
      <w:r>
        <w:rPr>
          <w:rFonts w:ascii="Arial" w:hAnsi="Arial"/>
          <w:color w:val="2B2723"/>
          <w:sz w:val="22"/>
        </w:rPr>
        <w:t>The box is for owners who value control and a managed setup more than the lowest possible software price.</w:t>
      </w:r>
    </w:p>
    <w:p>
      <w:pPr>
        <w:pStyle w:val="Heading1"/>
      </w:pPr>
      <w:r>
        <w:t>Price running cost and delivery</w:t>
      </w:r>
    </w:p>
    <w:p>
      <w:pPr>
        <w:keepNext/>
      </w:pPr>
      <w:r>
        <w:rPr>
          <w:rFonts w:ascii="Georgia" w:hAnsi="Georgia"/>
          <w:i/>
          <w:color w:val="6E675E"/>
          <w:sz w:val="24"/>
        </w:rPr>
        <w:t>What does it cost all in?</w:t>
      </w:r>
    </w:p>
    <w:p>
      <w:pPr>
        <w:keepNext w:val="0"/>
      </w:pPr>
      <w:r>
        <w:rPr>
          <w:rFonts w:ascii="Arial" w:hAnsi="Arial"/>
          <w:color w:val="2B2723"/>
          <w:sz w:val="22"/>
        </w:rPr>
        <w:t>Figaro Home, delivery and onboarding cost £550 once. The operator costs £99 a month. Anthropic bills model usage separately on your own API key, so the total depends on usage. A £20 refundable reservation is also available. Paid orders enter the priority build queue, and Figaro confirms the delivery window before a reservation balance is due.</w:t>
      </w:r>
    </w:p>
    <w:p>
      <w:pPr>
        <w:keepNext w:val="0"/>
      </w:pPr>
      <w:r>
        <w:rPr>
          <w:rFonts w:ascii="Arial" w:hAnsi="Arial"/>
          <w:b/>
          <w:color w:val="2B2723"/>
          <w:sz w:val="22"/>
        </w:rPr>
        <w:t xml:space="preserve">What to confirm  </w:t>
      </w:r>
      <w:r>
        <w:rPr>
          <w:rFonts w:ascii="Arial" w:hAnsi="Arial"/>
          <w:color w:val="2B2723"/>
          <w:sz w:val="22"/>
        </w:rPr>
        <w:t>Full orders are refundable before dispatch. After delivery, the current preorder terms provide a 14 day return period in original condition.</w:t>
      </w:r>
    </w:p>
    <w:p>
      <w:pPr>
        <w:pStyle w:val="Heading1"/>
      </w:pPr>
      <w:r>
        <w:t>Ownership and leaving</w:t>
      </w:r>
    </w:p>
    <w:p>
      <w:pPr>
        <w:keepNext/>
      </w:pPr>
      <w:r>
        <w:rPr>
          <w:rFonts w:ascii="Georgia" w:hAnsi="Georgia"/>
          <w:i/>
          <w:color w:val="6E675E"/>
          <w:sz w:val="24"/>
        </w:rPr>
        <w:t>What happens if I stop using Figaro?</w:t>
      </w:r>
    </w:p>
    <w:p>
      <w:pPr>
        <w:keepNext w:val="0"/>
      </w:pPr>
      <w:r>
        <w:rPr>
          <w:rFonts w:ascii="Arial" w:hAnsi="Arial"/>
          <w:color w:val="2B2723"/>
          <w:sz w:val="22"/>
        </w:rPr>
        <w:t>Your memory and working files remain on the box as plain files that you can copy. Cancelling the operator subscription does not transfer ownership of the hardware back to Figaro.</w:t>
      </w:r>
    </w:p>
    <w:p>
      <w:pPr>
        <w:keepNext w:val="0"/>
      </w:pPr>
      <w:r>
        <w:rPr>
          <w:rFonts w:ascii="Arial" w:hAnsi="Arial"/>
          <w:b/>
          <w:color w:val="2B2723"/>
          <w:sz w:val="22"/>
        </w:rPr>
        <w:t xml:space="preserve">What to confirm  </w:t>
      </w:r>
      <w:r>
        <w:rPr>
          <w:rFonts w:ascii="Arial" w:hAnsi="Arial"/>
          <w:color w:val="2B2723"/>
          <w:sz w:val="22"/>
        </w:rPr>
        <w:t>Export any records you want to keep before disconnecting third party accounts.</w:t>
      </w:r>
    </w:p>
    <w:sectPr>
      <w:headerReference w:type="default" r:id="rId9"/>
      <w:footerReference w:type="default" r:id="rId10"/>
      <w:pgSz w:w="12240" w:h="15840"/>
      <w:pgMar w:top="1008" w:right="1123" w:bottom="936" w:left="112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7920"/>
      <w:gridCol w:w="2160"/>
    </w:tblGrid>
    <w:tr>
      <w:tc>
        <w:tcPr>
          <w:tcW w:type="dxa" w:w="5040"/>
          <w:tcBorders>
            <w:top w:val="nil"/>
            <w:left w:val="nil"/>
            <w:bottom w:val="nil"/>
            <w:right w:val="nil"/>
            <w:insideH w:val="nil"/>
            <w:insideV w:val="nil"/>
          </w:tcBorders>
        </w:tcPr>
        <w:p>
          <w:pPr>
            <w:spacing w:after="0"/>
            <w:jc w:val="left"/>
          </w:pPr>
          <w:hyperlink r:id="rId1">
            <w:r>
              <w:rPr>
                <w:rFonts w:ascii="Arial" w:hAnsi="Arial"/>
                <w:color w:val="6E675E"/>
                <w:sz w:val="21"/>
              </w:rPr>
              <w:t>myfigaro.ai</w:t>
            </w:r>
          </w:hyperlink>
        </w:p>
      </w:tc>
      <w:tc>
        <w:tcPr>
          <w:tcW w:type="dxa" w:w="5040"/>
          <w:tcBorders>
            <w:top w:val="nil"/>
            <w:left w:val="nil"/>
            <w:bottom w:val="nil"/>
            <w:right w:val="nil"/>
            <w:insideH w:val="nil"/>
            <w:insideV w:val="nil"/>
          </w:tcBorders>
        </w:tcPr>
        <w:p>
          <w:pPr>
            <w:spacing w:after="0"/>
            <w:jc w:val="right"/>
          </w:pPr>
          <w:r>
            <w:rPr>
              <w:rFonts w:ascii="Arial" w:hAnsi="Arial"/>
              <w:color w:val="6E675E"/>
              <w:sz w:val="17"/>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2B2723"/>
        <w:sz w:val="17"/>
      </w:rPr>
      <w:t>FIGARO</w:t>
    </w:r>
    <w:r>
      <w:rPr>
        <w:rFonts w:ascii="Arial" w:hAnsi="Arial"/>
        <w:color w:val="6E675E"/>
        <w:sz w:val="17"/>
      </w:rPr>
      <w:t xml:space="preserve">   Client material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color w:val="2B27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00"/>
      <w:outlineLvl w:val="0"/>
    </w:pPr>
    <w:rPr>
      <w:rFonts w:asciiTheme="majorHAnsi" w:eastAsiaTheme="majorEastAsia" w:hAnsiTheme="majorHAnsi" w:cstheme="majorBidi" w:ascii="Georgia" w:hAnsi="Georgia"/>
      <w:b w:val="0"/>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180" w:after="60"/>
      <w:outlineLvl w:val="1"/>
    </w:pPr>
    <w:rPr>
      <w:rFonts w:asciiTheme="majorHAnsi" w:eastAsiaTheme="majorEastAsia" w:hAnsiTheme="majorHAnsi" w:cstheme="majorBidi" w:ascii="Georgia" w:hAnsi="Georgia"/>
      <w:b w:val="0"/>
      <w:bCs/>
      <w:color w:val="000000"/>
      <w:sz w:val="25"/>
      <w:szCs w:val="26"/>
    </w:rPr>
  </w:style>
  <w:style w:type="paragraph" w:styleId="Heading3">
    <w:name w:val="heading 3"/>
    <w:basedOn w:val="Normal"/>
    <w:next w:val="Normal"/>
    <w:link w:val="Heading3Char"/>
    <w:uiPriority w:val="9"/>
    <w:unhideWhenUsed/>
    <w:qFormat/>
    <w:rsid w:val="00FC693F"/>
    <w:pPr>
      <w:keepNext/>
      <w:keepLines/>
      <w:widowControl/>
      <w:spacing w:before="140" w:after="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Georgia" w:hAnsi="Georgia"/>
      <w:b w:val="0"/>
      <w:color w:val="000000"/>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ind w:left="346" w:hanging="230"/>
      <w:contextualSpacing/>
    </w:pPr>
    <w:rPr>
      <w:rFonts w:ascii="Arial" w:hAnsi="Arial"/>
      <w:color w:val="2B2723"/>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myfigaro.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